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9E" w:rsidRPr="00B6619E" w:rsidRDefault="00B6619E" w:rsidP="00B6619E">
      <w:pPr>
        <w:spacing w:line="420" w:lineRule="atLeast"/>
        <w:outlineLvl w:val="0"/>
        <w:rPr>
          <w:rFonts w:ascii="Arial" w:eastAsia="Times New Roman" w:hAnsi="Arial" w:cs="Arial"/>
          <w:color w:val="676767"/>
          <w:kern w:val="36"/>
          <w:sz w:val="32"/>
          <w:szCs w:val="32"/>
          <w:lang w:eastAsia="it-IT"/>
        </w:rPr>
      </w:pPr>
      <w:r w:rsidRPr="00B6619E">
        <w:rPr>
          <w:rFonts w:ascii="Arial" w:eastAsia="Times New Roman" w:hAnsi="Arial" w:cs="Arial"/>
          <w:color w:val="676767"/>
          <w:kern w:val="36"/>
          <w:sz w:val="32"/>
          <w:szCs w:val="32"/>
          <w:bdr w:val="none" w:sz="0" w:space="0" w:color="auto" w:frame="1"/>
          <w:lang w:eastAsia="it-IT"/>
        </w:rPr>
        <w:t>Boston Society of Architecture "Ricerca in Architettura Grant" La Città Sicura: Progettazione e Percezione dello Spazio Pubblico Post 9/11</w:t>
      </w:r>
    </w:p>
    <w:p w:rsidR="00B6619E" w:rsidRPr="00B6619E" w:rsidRDefault="00B6619E" w:rsidP="00B6619E">
      <w:pPr>
        <w:spacing w:after="0" w:line="240" w:lineRule="auto"/>
        <w:rPr>
          <w:rFonts w:ascii="Helvetica" w:eastAsia="Times New Roman" w:hAnsi="Helvetica" w:cs="Helvetica"/>
          <w:color w:val="676767"/>
          <w:sz w:val="18"/>
          <w:szCs w:val="18"/>
          <w:lang w:eastAsia="it-IT"/>
        </w:rPr>
      </w:pPr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Susan </w:t>
      </w:r>
      <w:proofErr w:type="spell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Silberberg</w:t>
      </w:r>
      <w:proofErr w:type="spell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 è stato assegnato una borsa di studio competitiva della Boston Society of </w:t>
      </w:r>
      <w:proofErr w:type="spell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Architects</w:t>
      </w:r>
      <w:proofErr w:type="spell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 per indagare sul design e la percezione dello spazio pubblico dopo il 9/11. Gli eventi terroristici hanno causato molte città e il governo federale a ripensare ai temi dell'accessibilità pubblica, alla progettazione di spazi aperti e alla protezione degli edifici perimetrali. Questa ridefinizione e riqualificazione dello spazio pubblico per creare un dominio pubblico sicuro ha provocato risposte che vanno dagli sforzi organizzati per identificare i ruoli per i professionisti e per vincere i contratti di progettazione governativa, al pubblico oltraggio per le modifiche allo spazio urbano e l'erezione di nuove barriere all'accessibilità e </w:t>
      </w:r>
      <w:proofErr w:type="gram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all'apertura .</w:t>
      </w:r>
      <w:proofErr w:type="gram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 La ricerca originale di Susan </w:t>
      </w:r>
      <w:proofErr w:type="spell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Silberberg</w:t>
      </w:r>
      <w:proofErr w:type="spell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 cerca di scoprire ed esplorare le persone e le forze che stanno riformando il regno pubblico nelle grandi città per fornire informazioni complete per progettare professionisti, funzionari pubblici e accademici sui processi decisionali e sugli impatti della cartolarizzazione del regno pubblico. A partire da Boston nel 2006, la sua ricerca continua a cercare risposte alle seguenti domande:</w:t>
      </w:r>
    </w:p>
    <w:p w:rsidR="00B6619E" w:rsidRPr="00B6619E" w:rsidRDefault="00B6619E" w:rsidP="00B6619E">
      <w:pPr>
        <w:numPr>
          <w:ilvl w:val="0"/>
          <w:numId w:val="1"/>
        </w:numPr>
        <w:spacing w:after="0" w:line="240" w:lineRule="auto"/>
        <w:ind w:left="255"/>
        <w:rPr>
          <w:rFonts w:ascii="Helvetica" w:eastAsia="Times New Roman" w:hAnsi="Helvetica" w:cs="Helvetica"/>
          <w:color w:val="676767"/>
          <w:sz w:val="18"/>
          <w:szCs w:val="18"/>
          <w:lang w:eastAsia="it-IT"/>
        </w:rPr>
      </w:pPr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Quali motivi specifici, i fondi e le regolamentazioni hanno determinato sforzi di progettazione urbana sicura?</w:t>
      </w:r>
    </w:p>
    <w:p w:rsidR="00B6619E" w:rsidRPr="00B6619E" w:rsidRDefault="00B6619E" w:rsidP="00B6619E">
      <w:pPr>
        <w:numPr>
          <w:ilvl w:val="0"/>
          <w:numId w:val="1"/>
        </w:numPr>
        <w:spacing w:after="0" w:line="240" w:lineRule="auto"/>
        <w:ind w:left="255"/>
        <w:rPr>
          <w:rFonts w:ascii="Helvetica" w:eastAsia="Times New Roman" w:hAnsi="Helvetica" w:cs="Helvetica"/>
          <w:color w:val="676767"/>
          <w:sz w:val="18"/>
          <w:szCs w:val="18"/>
          <w:lang w:eastAsia="it-IT"/>
        </w:rPr>
      </w:pPr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Questi sforzi sono coordinati </w:t>
      </w:r>
      <w:proofErr w:type="gram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e "</w:t>
      </w:r>
      <w:proofErr w:type="gram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progettati" e quali sono le risposte ad hoc e perché?</w:t>
      </w:r>
    </w:p>
    <w:p w:rsidR="00B6619E" w:rsidRPr="00B6619E" w:rsidRDefault="00B6619E" w:rsidP="00B6619E">
      <w:pPr>
        <w:numPr>
          <w:ilvl w:val="0"/>
          <w:numId w:val="1"/>
        </w:numPr>
        <w:spacing w:after="0" w:line="240" w:lineRule="auto"/>
        <w:ind w:left="255"/>
        <w:rPr>
          <w:rFonts w:ascii="Helvetica" w:eastAsia="Times New Roman" w:hAnsi="Helvetica" w:cs="Helvetica"/>
          <w:color w:val="676767"/>
          <w:sz w:val="18"/>
          <w:szCs w:val="18"/>
          <w:lang w:eastAsia="it-IT"/>
        </w:rPr>
      </w:pPr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Come questi sforzi influenzano sia la progettazione fisica dello spazio pubblico e l'uso effettivo? Quali sono i cambiamenti nella percezione pubblica di questi spazi urbani protetti dopo l'installazione?</w:t>
      </w:r>
    </w:p>
    <w:p w:rsidR="00B6619E" w:rsidRPr="00B6619E" w:rsidRDefault="00B6619E" w:rsidP="00B6619E">
      <w:pPr>
        <w:numPr>
          <w:ilvl w:val="0"/>
          <w:numId w:val="1"/>
        </w:numPr>
        <w:spacing w:after="0" w:line="240" w:lineRule="auto"/>
        <w:ind w:left="255"/>
        <w:rPr>
          <w:rFonts w:ascii="Helvetica" w:eastAsia="Times New Roman" w:hAnsi="Helvetica" w:cs="Helvetica"/>
          <w:color w:val="676767"/>
          <w:sz w:val="18"/>
          <w:szCs w:val="18"/>
          <w:lang w:eastAsia="it-IT"/>
        </w:rPr>
      </w:pPr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Chi è coinvolto nella cartolarizzazione e quali ruoli svolgono nel settore privato e pubblico?</w:t>
      </w:r>
    </w:p>
    <w:p w:rsidR="00B6619E" w:rsidRPr="00B6619E" w:rsidRDefault="00B6619E" w:rsidP="00B6619E">
      <w:pPr>
        <w:spacing w:after="0" w:line="240" w:lineRule="auto"/>
        <w:rPr>
          <w:rFonts w:ascii="Helvetica" w:eastAsia="Times New Roman" w:hAnsi="Helvetica" w:cs="Helvetica"/>
          <w:color w:val="676767"/>
          <w:sz w:val="18"/>
          <w:szCs w:val="18"/>
          <w:lang w:eastAsia="it-IT"/>
        </w:rPr>
      </w:pPr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Attraverso il lavoro sul campo, la ricerca scolastica, le interviste e la valutazione di casi di studio, il team di ricerca di Susan </w:t>
      </w:r>
      <w:proofErr w:type="spell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Silberberg</w:t>
      </w:r>
      <w:proofErr w:type="spell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 xml:space="preserve"> continua a esplorare queste domande a Boston e New York City. I risultati di sua ricerca Boston sono riportate in “‘pretesto cartolarizzazione di spazio pubblico di Boston dopo il 9/11: motivazioni, attori e un ruolo per i </w:t>
      </w:r>
      <w:proofErr w:type="spell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pianificatori’in</w:t>
      </w:r>
      <w:proofErr w:type="spell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 </w:t>
      </w:r>
      <w:proofErr w:type="spellStart"/>
      <w:r w:rsidRPr="00B6619E">
        <w:rPr>
          <w:rFonts w:ascii="Helvetica" w:eastAsia="Times New Roman" w:hAnsi="Helvetica" w:cs="Helvetica"/>
          <w:i/>
          <w:iCs/>
          <w:color w:val="676767"/>
          <w:sz w:val="18"/>
          <w:szCs w:val="18"/>
          <w:bdr w:val="none" w:sz="0" w:space="0" w:color="auto" w:frame="1"/>
          <w:lang w:eastAsia="it-IT"/>
        </w:rPr>
        <w:t>Policing</w:t>
      </w:r>
      <w:proofErr w:type="spellEnd"/>
      <w:r w:rsidRPr="00B6619E">
        <w:rPr>
          <w:rFonts w:ascii="Helvetica" w:eastAsia="Times New Roman" w:hAnsi="Helvetica" w:cs="Helvetica"/>
          <w:i/>
          <w:iCs/>
          <w:color w:val="676767"/>
          <w:sz w:val="18"/>
          <w:szCs w:val="18"/>
          <w:bdr w:val="none" w:sz="0" w:space="0" w:color="auto" w:frame="1"/>
          <w:lang w:eastAsia="it-IT"/>
        </w:rPr>
        <w:t xml:space="preserve"> </w:t>
      </w:r>
      <w:proofErr w:type="spellStart"/>
      <w:r w:rsidRPr="00B6619E">
        <w:rPr>
          <w:rFonts w:ascii="Helvetica" w:eastAsia="Times New Roman" w:hAnsi="Helvetica" w:cs="Helvetica"/>
          <w:i/>
          <w:iCs/>
          <w:color w:val="676767"/>
          <w:sz w:val="18"/>
          <w:szCs w:val="18"/>
          <w:bdr w:val="none" w:sz="0" w:space="0" w:color="auto" w:frame="1"/>
          <w:lang w:eastAsia="it-IT"/>
        </w:rPr>
        <w:t>Cities</w:t>
      </w:r>
      <w:proofErr w:type="spellEnd"/>
      <w:r w:rsidRPr="00B6619E">
        <w:rPr>
          <w:rFonts w:ascii="Helvetica" w:eastAsia="Times New Roman" w:hAnsi="Helvetica" w:cs="Helvetica"/>
          <w:i/>
          <w:iCs/>
          <w:color w:val="676767"/>
          <w:sz w:val="18"/>
          <w:szCs w:val="18"/>
          <w:bdr w:val="none" w:sz="0" w:space="0" w:color="auto" w:frame="1"/>
          <w:lang w:eastAsia="it-IT"/>
        </w:rPr>
        <w:t>: cartolarizzazione e di regolamento in un 21 </w:t>
      </w:r>
      <w:r w:rsidRPr="00B6619E">
        <w:rPr>
          <w:rFonts w:ascii="Helvetica" w:eastAsia="Times New Roman" w:hAnsi="Helvetica" w:cs="Helvetica"/>
          <w:i/>
          <w:iCs/>
          <w:color w:val="676767"/>
          <w:sz w:val="18"/>
          <w:szCs w:val="18"/>
          <w:bdr w:val="none" w:sz="0" w:space="0" w:color="auto" w:frame="1"/>
          <w:vertAlign w:val="superscript"/>
          <w:lang w:eastAsia="it-IT"/>
        </w:rPr>
        <w:t>°</w:t>
      </w:r>
      <w:r w:rsidRPr="00B6619E">
        <w:rPr>
          <w:rFonts w:ascii="Helvetica" w:eastAsia="Times New Roman" w:hAnsi="Helvetica" w:cs="Helvetica"/>
          <w:i/>
          <w:iCs/>
          <w:color w:val="676767"/>
          <w:sz w:val="18"/>
          <w:szCs w:val="18"/>
          <w:bdr w:val="none" w:sz="0" w:space="0" w:color="auto" w:frame="1"/>
          <w:lang w:eastAsia="it-IT"/>
        </w:rPr>
        <w:t> secolo Mondiale</w:t>
      </w:r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 (</w:t>
      </w:r>
      <w:proofErr w:type="spellStart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Routledge</w:t>
      </w:r>
      <w:proofErr w:type="spellEnd"/>
      <w:r w:rsidRPr="00B6619E">
        <w:rPr>
          <w:rFonts w:ascii="Helvetica" w:eastAsia="Times New Roman" w:hAnsi="Helvetica" w:cs="Helvetica"/>
          <w:color w:val="676767"/>
          <w:sz w:val="18"/>
          <w:szCs w:val="18"/>
          <w:bdr w:val="none" w:sz="0" w:space="0" w:color="auto" w:frame="1"/>
          <w:lang w:eastAsia="it-IT"/>
        </w:rPr>
        <w:t>, 2013).</w:t>
      </w:r>
    </w:p>
    <w:p w:rsidR="002D0467" w:rsidRDefault="002D0467">
      <w:bookmarkStart w:id="0" w:name="_GoBack"/>
      <w:bookmarkEnd w:id="0"/>
    </w:p>
    <w:sectPr w:rsidR="002D0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361CF"/>
    <w:multiLevelType w:val="multilevel"/>
    <w:tmpl w:val="0B18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19E"/>
    <w:rsid w:val="00004BA0"/>
    <w:rsid w:val="002D0467"/>
    <w:rsid w:val="00B6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0FAB2-F278-4901-A439-B9DA1E2E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66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6619E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66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6314">
          <w:marLeft w:val="0"/>
          <w:marRight w:val="0"/>
          <w:marTop w:val="0"/>
          <w:marBottom w:val="450"/>
          <w:divBdr>
            <w:top w:val="none" w:sz="0" w:space="23" w:color="auto"/>
            <w:left w:val="none" w:sz="0" w:space="0" w:color="auto"/>
            <w:bottom w:val="single" w:sz="6" w:space="23" w:color="EEEEEE"/>
            <w:right w:val="none" w:sz="0" w:space="0" w:color="auto"/>
          </w:divBdr>
        </w:div>
        <w:div w:id="182792039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2017-11-02T20:22:00Z</dcterms:created>
  <dcterms:modified xsi:type="dcterms:W3CDTF">2017-11-02T20:22:00Z</dcterms:modified>
</cp:coreProperties>
</file>